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1CD3584" w:rsidR="00FB67A6" w:rsidRPr="00ED5E2F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472B3" w:rsidRPr="00ED5E2F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</w:p>
    <w:p w14:paraId="25040CD6" w14:textId="77777777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1507E970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резултат, </w:t>
      </w:r>
    </w:p>
    <w:p w14:paraId="67A27C1A" w14:textId="58319B3F" w:rsidR="00FB67A6" w:rsidRPr="00D77738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приложими към процедура</w:t>
      </w:r>
      <w:r w:rsidR="004472B3" w:rsidRPr="0071426D">
        <w:rPr>
          <w:caps/>
        </w:rPr>
        <w:t xml:space="preserve"> 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чрез подбор на проектни предложения </w:t>
      </w:r>
      <w:r w:rsidR="003D42A1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BG16RFPR001-1.008 „Въвеждане на технологии от областта на Индустрия 4.0 в предприятията“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77777777" w:rsidR="0054607E" w:rsidRDefault="00651EA7" w:rsidP="00D77738">
      <w:pPr>
        <w:tabs>
          <w:tab w:val="left" w:pos="3600"/>
        </w:tabs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EB2A77" w:rsidRPr="00ED5E2F">
        <w:rPr>
          <w:rFonts w:ascii="Times New Roman" w:hAnsi="Times New Roman" w:cs="Times New Roman"/>
          <w:sz w:val="24"/>
          <w:szCs w:val="24"/>
        </w:rPr>
        <w:t>B</w:t>
      </w:r>
      <w:r w:rsidR="003D42A1" w:rsidRPr="003D42A1">
        <w:t xml:space="preserve"> </w:t>
      </w:r>
      <w:r w:rsidR="003D42A1" w:rsidRPr="003D42A1">
        <w:rPr>
          <w:rFonts w:ascii="Times New Roman" w:hAnsi="Times New Roman" w:cs="Times New Roman"/>
          <w:sz w:val="24"/>
          <w:szCs w:val="24"/>
        </w:rPr>
        <w:t>BG16RFPR001-1.008 „Въвеждане на технологии от областта на Индустрия 4.0 в предприятията“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3D42A1">
        <w:rPr>
          <w:rFonts w:ascii="Times New Roman" w:hAnsi="Times New Roman" w:cs="Times New Roman"/>
          <w:sz w:val="24"/>
          <w:szCs w:val="24"/>
        </w:rPr>
        <w:t>един</w:t>
      </w:r>
      <w:r w:rsidRPr="00ED5E2F">
        <w:rPr>
          <w:rFonts w:ascii="Times New Roman" w:hAnsi="Times New Roman" w:cs="Times New Roman"/>
          <w:sz w:val="24"/>
          <w:szCs w:val="24"/>
        </w:rPr>
        <w:t xml:space="preserve"> от приоритетите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(ПКИП), а именно: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Приоритет: 1. Иновации и растеж, Специфична цел: </w:t>
      </w:r>
      <w:r w:rsidR="003D42A1" w:rsidRPr="003D42A1">
        <w:rPr>
          <w:rFonts w:ascii="Times New Roman" w:hAnsi="Times New Roman" w:cs="Times New Roman"/>
          <w:sz w:val="24"/>
          <w:szCs w:val="24"/>
        </w:rPr>
        <w:t>RSO1.2. Усвояване на ползите от цифровизацията за гражданите, дружествата, изследователските организации и публичните органи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 (ЕФРР).</w:t>
      </w:r>
    </w:p>
    <w:p w14:paraId="25AF62FE" w14:textId="32C296A2" w:rsidR="00D77738" w:rsidRDefault="00BA7F11" w:rsidP="0023211E">
      <w:pPr>
        <w:tabs>
          <w:tab w:val="left" w:pos="3600"/>
        </w:tabs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ED5E2F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ED5E2F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5CE14757" w14:textId="54D70187" w:rsidR="003969A2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627182" w14:textId="77777777" w:rsidR="00B455C0" w:rsidRPr="00ED5E2F" w:rsidRDefault="00B455C0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8E2F40">
        <w:trPr>
          <w:trHeight w:val="340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8E2F40">
        <w:trPr>
          <w:trHeight w:val="294"/>
        </w:trPr>
        <w:tc>
          <w:tcPr>
            <w:tcW w:w="2714" w:type="dxa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</w:tcPr>
          <w:p w14:paraId="0DFEAEBF" w14:textId="3E4354F4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BD1A7A" w:rsidRPr="00ED5E2F" w14:paraId="75D288E0" w14:textId="77777777" w:rsidTr="008E2F40">
        <w:trPr>
          <w:trHeight w:val="292"/>
        </w:trPr>
        <w:tc>
          <w:tcPr>
            <w:tcW w:w="2714" w:type="dxa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</w:tcPr>
          <w:p w14:paraId="2A03FB75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8E2F40">
        <w:trPr>
          <w:trHeight w:val="294"/>
        </w:trPr>
        <w:tc>
          <w:tcPr>
            <w:tcW w:w="2714" w:type="dxa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</w:tcPr>
          <w:p w14:paraId="1BB24B48" w14:textId="5C743CED" w:rsidR="00BD1A7A" w:rsidRPr="00727B55" w:rsidRDefault="00BD1A7A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727B5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(в т.ч.: микро-, малки, средни, големи предприятия)</w:t>
            </w:r>
          </w:p>
        </w:tc>
      </w:tr>
      <w:tr w:rsidR="00BD1A7A" w:rsidRPr="00ED5E2F" w14:paraId="7DDB68D1" w14:textId="77777777" w:rsidTr="008E2F40">
        <w:trPr>
          <w:trHeight w:val="291"/>
        </w:trPr>
        <w:tc>
          <w:tcPr>
            <w:tcW w:w="2714" w:type="dxa"/>
          </w:tcPr>
          <w:p w14:paraId="0EEA0C0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637" w:type="dxa"/>
          </w:tcPr>
          <w:p w14:paraId="43DC84B2" w14:textId="5732F0F3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</w:p>
        </w:tc>
      </w:tr>
      <w:tr w:rsidR="00BD1A7A" w:rsidRPr="00ED5E2F" w14:paraId="17B381DD" w14:textId="77777777" w:rsidTr="008E2F40">
        <w:trPr>
          <w:trHeight w:val="292"/>
        </w:trPr>
        <w:tc>
          <w:tcPr>
            <w:tcW w:w="2714" w:type="dxa"/>
          </w:tcPr>
          <w:p w14:paraId="72EE5B1C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</w:tcPr>
          <w:p w14:paraId="3D2A3802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8E2F40">
        <w:trPr>
          <w:trHeight w:val="292"/>
        </w:trPr>
        <w:tc>
          <w:tcPr>
            <w:tcW w:w="2714" w:type="dxa"/>
          </w:tcPr>
          <w:p w14:paraId="2D7D2CE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37" w:type="dxa"/>
          </w:tcPr>
          <w:p w14:paraId="3630C5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8E2F40">
        <w:trPr>
          <w:trHeight w:val="292"/>
        </w:trPr>
        <w:tc>
          <w:tcPr>
            <w:tcW w:w="2714" w:type="dxa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</w:tcPr>
          <w:p w14:paraId="40FB2220" w14:textId="083C82CE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73A5AAA5" w14:textId="77777777" w:rsidTr="008E2F40">
        <w:trPr>
          <w:trHeight w:val="292"/>
        </w:trPr>
        <w:tc>
          <w:tcPr>
            <w:tcW w:w="2714" w:type="dxa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</w:tcPr>
          <w:p w14:paraId="4B576AB6" w14:textId="1180BCE5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43CECB45" w14:textId="77777777" w:rsidTr="008E2F40">
        <w:trPr>
          <w:trHeight w:val="291"/>
        </w:trPr>
        <w:tc>
          <w:tcPr>
            <w:tcW w:w="2714" w:type="dxa"/>
          </w:tcPr>
          <w:p w14:paraId="48163B34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37" w:type="dxa"/>
          </w:tcPr>
          <w:p w14:paraId="00512395" w14:textId="1C57C23A" w:rsidR="00BD1A7A" w:rsidRPr="00ED5E2F" w:rsidRDefault="00BD1A7A" w:rsidP="0071426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64C1CF34" w14:textId="77777777" w:rsidTr="008E2F40">
        <w:trPr>
          <w:trHeight w:val="853"/>
        </w:trPr>
        <w:tc>
          <w:tcPr>
            <w:tcW w:w="2714" w:type="dxa"/>
          </w:tcPr>
          <w:p w14:paraId="3F01997B" w14:textId="234B0C90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637" w:type="dxa"/>
          </w:tcPr>
          <w:p w14:paraId="1BD8BC70" w14:textId="1DAF8AF0" w:rsidR="00BD1A7A" w:rsidRPr="00ED5E2F" w:rsidRDefault="00BD1A7A" w:rsidP="00727B5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подават проектни предложения по настоящата процедура.</w:t>
            </w:r>
          </w:p>
        </w:tc>
      </w:tr>
    </w:tbl>
    <w:p w14:paraId="7B2EF54D" w14:textId="729FDC0B" w:rsidR="003969A2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79C98D7A" w14:textId="4FF6CCC4" w:rsidR="00B455C0" w:rsidRDefault="00B455C0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4A1A6214" w14:textId="4764F1F4" w:rsidR="00B455C0" w:rsidRDefault="00B455C0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6A2FAEE" w14:textId="77777777" w:rsidR="00B455C0" w:rsidRPr="00ED5E2F" w:rsidRDefault="00B455C0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8E2F40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8E2F40">
        <w:trPr>
          <w:trHeight w:val="167"/>
        </w:trPr>
        <w:tc>
          <w:tcPr>
            <w:tcW w:w="2676" w:type="dxa"/>
          </w:tcPr>
          <w:p w14:paraId="4FFCE4F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75" w:type="dxa"/>
          </w:tcPr>
          <w:p w14:paraId="33E9BABE" w14:textId="2A9760D4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8E2F40">
        <w:trPr>
          <w:trHeight w:val="170"/>
        </w:trPr>
        <w:tc>
          <w:tcPr>
            <w:tcW w:w="2676" w:type="dxa"/>
          </w:tcPr>
          <w:p w14:paraId="6FC1810A" w14:textId="01C98DF9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675" w:type="dxa"/>
          </w:tcPr>
          <w:p w14:paraId="6D8053C4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BD1A7A" w:rsidRPr="00ED5E2F" w14:paraId="3751D846" w14:textId="77777777" w:rsidTr="008E2F40">
        <w:trPr>
          <w:trHeight w:val="167"/>
        </w:trPr>
        <w:tc>
          <w:tcPr>
            <w:tcW w:w="2676" w:type="dxa"/>
          </w:tcPr>
          <w:p w14:paraId="1C1606F9" w14:textId="0C6A732B" w:rsidR="00BD1A7A" w:rsidRPr="00727B55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6675" w:type="dxa"/>
          </w:tcPr>
          <w:p w14:paraId="141651EE" w14:textId="77777777" w:rsidR="00BD1A7A" w:rsidRPr="00727B55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 предприятия чрез безвъзмездни средства</w:t>
            </w:r>
          </w:p>
        </w:tc>
      </w:tr>
      <w:tr w:rsidR="00BD1A7A" w:rsidRPr="00ED5E2F" w14:paraId="56FF5C1D" w14:textId="77777777" w:rsidTr="008E2F40">
        <w:trPr>
          <w:trHeight w:val="238"/>
        </w:trPr>
        <w:tc>
          <w:tcPr>
            <w:tcW w:w="2676" w:type="dxa"/>
          </w:tcPr>
          <w:p w14:paraId="275D48F6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675" w:type="dxa"/>
          </w:tcPr>
          <w:p w14:paraId="40C4BFD0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BD1A7A" w:rsidRPr="00ED5E2F" w14:paraId="13300347" w14:textId="77777777" w:rsidTr="008E2F40">
        <w:trPr>
          <w:trHeight w:val="294"/>
        </w:trPr>
        <w:tc>
          <w:tcPr>
            <w:tcW w:w="2676" w:type="dxa"/>
          </w:tcPr>
          <w:p w14:paraId="772EBAAC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675" w:type="dxa"/>
          </w:tcPr>
          <w:p w14:paraId="56BC5C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8E2F40">
        <w:trPr>
          <w:trHeight w:val="223"/>
        </w:trPr>
        <w:tc>
          <w:tcPr>
            <w:tcW w:w="2676" w:type="dxa"/>
          </w:tcPr>
          <w:p w14:paraId="27CFD0FA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75" w:type="dxa"/>
          </w:tcPr>
          <w:p w14:paraId="6A90BF77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2C1B309" w14:textId="77777777" w:rsidTr="008E2F40">
        <w:trPr>
          <w:trHeight w:val="223"/>
        </w:trPr>
        <w:tc>
          <w:tcPr>
            <w:tcW w:w="2676" w:type="dxa"/>
          </w:tcPr>
          <w:p w14:paraId="590CF032" w14:textId="32BB27C0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5" w:type="dxa"/>
          </w:tcPr>
          <w:p w14:paraId="6067A214" w14:textId="599D37B9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4BFAE63D" w14:textId="77777777" w:rsidTr="008E2F40">
        <w:trPr>
          <w:trHeight w:val="223"/>
        </w:trPr>
        <w:tc>
          <w:tcPr>
            <w:tcW w:w="2676" w:type="dxa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5" w:type="dxa"/>
          </w:tcPr>
          <w:p w14:paraId="09E90895" w14:textId="76F6A50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19B5FE46" w14:textId="77777777" w:rsidTr="000916DB">
        <w:trPr>
          <w:trHeight w:val="761"/>
        </w:trPr>
        <w:tc>
          <w:tcPr>
            <w:tcW w:w="2676" w:type="dxa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</w:tcPr>
          <w:p w14:paraId="4E868555" w14:textId="3BA42627" w:rsidR="00BD1A7A" w:rsidRPr="003D42A1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29BC01E0" w14:textId="77777777" w:rsidTr="008873DD">
        <w:trPr>
          <w:trHeight w:val="696"/>
        </w:trPr>
        <w:tc>
          <w:tcPr>
            <w:tcW w:w="2676" w:type="dxa"/>
          </w:tcPr>
          <w:p w14:paraId="74CCD56E" w14:textId="1F53816E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75" w:type="dxa"/>
          </w:tcPr>
          <w:p w14:paraId="74CAF8E9" w14:textId="2C22558C" w:rsidR="00BD1A7A" w:rsidRPr="00ED5E2F" w:rsidRDefault="00BD1A7A" w:rsidP="00727B55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7B5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="00727B5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настоящата процедура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5AA0BE0" w14:textId="5E06BCC8" w:rsidR="003969A2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38523D1" w14:textId="77777777" w:rsidR="00B455C0" w:rsidRDefault="00B455C0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8E2F40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8E2F40">
        <w:trPr>
          <w:trHeight w:val="279"/>
        </w:trPr>
        <w:tc>
          <w:tcPr>
            <w:tcW w:w="2678" w:type="dxa"/>
          </w:tcPr>
          <w:p w14:paraId="6D8E151C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73" w:type="dxa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8E2F40">
        <w:trPr>
          <w:trHeight w:val="283"/>
        </w:trPr>
        <w:tc>
          <w:tcPr>
            <w:tcW w:w="2678" w:type="dxa"/>
          </w:tcPr>
          <w:p w14:paraId="07AA773C" w14:textId="69EEC342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673" w:type="dxa"/>
          </w:tcPr>
          <w:p w14:paraId="31ACF8DD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RCR02</w:t>
            </w:r>
          </w:p>
        </w:tc>
      </w:tr>
      <w:tr w:rsidR="00BD1A7A" w:rsidRPr="00ED5E2F" w14:paraId="38A60218" w14:textId="77777777" w:rsidTr="008E2F40">
        <w:trPr>
          <w:trHeight w:val="410"/>
        </w:trPr>
        <w:tc>
          <w:tcPr>
            <w:tcW w:w="2678" w:type="dxa"/>
          </w:tcPr>
          <w:p w14:paraId="16EB2B09" w14:textId="5F4CB898" w:rsidR="00BD1A7A" w:rsidRPr="008873DD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6673" w:type="dxa"/>
          </w:tcPr>
          <w:p w14:paraId="56DEB3D6" w14:textId="77777777" w:rsidR="00BD1A7A" w:rsidRPr="008873DD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ED5E2F" w14:paraId="2700DC49" w14:textId="77777777" w:rsidTr="008E2F40">
        <w:trPr>
          <w:trHeight w:val="283"/>
        </w:trPr>
        <w:tc>
          <w:tcPr>
            <w:tcW w:w="2678" w:type="dxa"/>
          </w:tcPr>
          <w:p w14:paraId="525128C5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673" w:type="dxa"/>
          </w:tcPr>
          <w:p w14:paraId="0E95E1B7" w14:textId="4E3EF23E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Евро</w:t>
            </w:r>
          </w:p>
        </w:tc>
      </w:tr>
      <w:tr w:rsidR="00BD1A7A" w:rsidRPr="00ED5E2F" w14:paraId="2667B366" w14:textId="77777777" w:rsidTr="008E2F40">
        <w:trPr>
          <w:trHeight w:val="281"/>
        </w:trPr>
        <w:tc>
          <w:tcPr>
            <w:tcW w:w="2678" w:type="dxa"/>
          </w:tcPr>
          <w:p w14:paraId="5BF43138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673" w:type="dxa"/>
          </w:tcPr>
          <w:p w14:paraId="42112290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BD1A7A" w:rsidRPr="00ED5E2F" w14:paraId="50ED5E53" w14:textId="77777777" w:rsidTr="008E2F40">
        <w:trPr>
          <w:trHeight w:val="279"/>
        </w:trPr>
        <w:tc>
          <w:tcPr>
            <w:tcW w:w="2678" w:type="dxa"/>
          </w:tcPr>
          <w:p w14:paraId="61FDEAC8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73" w:type="dxa"/>
          </w:tcPr>
          <w:p w14:paraId="6524D43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6CEA95A" w14:textId="77777777" w:rsidTr="008E2F40">
        <w:trPr>
          <w:trHeight w:val="279"/>
        </w:trPr>
        <w:tc>
          <w:tcPr>
            <w:tcW w:w="2678" w:type="dxa"/>
          </w:tcPr>
          <w:p w14:paraId="642122B7" w14:textId="4A40199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</w:tcPr>
          <w:p w14:paraId="663DAACF" w14:textId="320C31EC" w:rsidR="00BD1A7A" w:rsidRPr="00ED5E2F" w:rsidRDefault="00BD1A7A" w:rsidP="00285C3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8E2F40">
        <w:trPr>
          <w:trHeight w:val="279"/>
        </w:trPr>
        <w:tc>
          <w:tcPr>
            <w:tcW w:w="2678" w:type="dxa"/>
          </w:tcPr>
          <w:p w14:paraId="5CB9E3FA" w14:textId="638175CB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</w:tcPr>
          <w:p w14:paraId="626BCCFA" w14:textId="77448731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сключването на Административния договор</w:t>
            </w:r>
          </w:p>
        </w:tc>
      </w:tr>
      <w:tr w:rsidR="00BD1A7A" w:rsidRPr="00ED5E2F" w14:paraId="278B4CDD" w14:textId="77777777" w:rsidTr="000916DB">
        <w:trPr>
          <w:trHeight w:val="778"/>
        </w:trPr>
        <w:tc>
          <w:tcPr>
            <w:tcW w:w="2678" w:type="dxa"/>
          </w:tcPr>
          <w:p w14:paraId="21645946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3" w:type="dxa"/>
          </w:tcPr>
          <w:p w14:paraId="7D32F91A" w14:textId="0A1AD712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3571C2FD" w14:textId="77777777" w:rsidTr="008873DD">
        <w:trPr>
          <w:trHeight w:val="1841"/>
        </w:trPr>
        <w:tc>
          <w:tcPr>
            <w:tcW w:w="2678" w:type="dxa"/>
          </w:tcPr>
          <w:p w14:paraId="616C0B32" w14:textId="40B0A6D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73" w:type="dxa"/>
          </w:tcPr>
          <w:p w14:paraId="08F6756D" w14:textId="0516F0AB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частен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принос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подкрепените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Индикаторът обхваща и недопустимата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финаниране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част от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проекта, включително ДДС 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ако е приложимо)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6920133" w14:textId="77777777" w:rsidR="00BD1A7A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изчислява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предвидено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административните договори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2B2D33" w14:textId="4B7CDF67" w:rsidR="00390C81" w:rsidRPr="00785B4D" w:rsidRDefault="00390C81" w:rsidP="00785B4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</w:t>
            </w:r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бщата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стойност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на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съфинансирането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собственото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финансиране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),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осигурено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кандидатите</w:t>
            </w:r>
            <w:proofErr w:type="spellEnd"/>
            <w:r w:rsidR="00785B4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="00785B4D"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проекта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лева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следва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се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конвертират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евро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курс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1,9558.</w:t>
            </w:r>
          </w:p>
        </w:tc>
      </w:tr>
    </w:tbl>
    <w:p w14:paraId="392959B4" w14:textId="44FE0A7B" w:rsidR="00BD1A7A" w:rsidRDefault="00BD1A7A" w:rsidP="00FB67A6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03C6511" w14:textId="09786136" w:rsidR="00BD1A7A" w:rsidRDefault="00BD1A7A" w:rsidP="00FB67A6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8F99746" w14:textId="07712F27" w:rsidR="008E2F40" w:rsidRDefault="008E2F40" w:rsidP="00FB67A6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17F2AA9" w14:textId="77777777" w:rsidR="0023211E" w:rsidRPr="00ED5E2F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7"/>
        <w:gridCol w:w="6684"/>
      </w:tblGrid>
      <w:tr w:rsidR="00BD1A7A" w:rsidRPr="00ED5E2F" w14:paraId="67B1A7DE" w14:textId="77777777" w:rsidTr="008E2F40">
        <w:trPr>
          <w:trHeight w:val="347"/>
        </w:trPr>
        <w:tc>
          <w:tcPr>
            <w:tcW w:w="2667" w:type="dxa"/>
            <w:shd w:val="clear" w:color="auto" w:fill="C5D9F0"/>
            <w:vAlign w:val="center"/>
          </w:tcPr>
          <w:p w14:paraId="77D9F50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84" w:type="dxa"/>
            <w:shd w:val="clear" w:color="auto" w:fill="C5D9F0"/>
            <w:vAlign w:val="center"/>
          </w:tcPr>
          <w:p w14:paraId="7F9A90C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DD85E79" w14:textId="77777777" w:rsidTr="008E2F40">
        <w:trPr>
          <w:trHeight w:val="319"/>
        </w:trPr>
        <w:tc>
          <w:tcPr>
            <w:tcW w:w="2667" w:type="dxa"/>
          </w:tcPr>
          <w:p w14:paraId="7FBC8AD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84" w:type="dxa"/>
          </w:tcPr>
          <w:p w14:paraId="7F2732E4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39E42ED" w14:textId="77777777" w:rsidTr="008E2F40">
        <w:trPr>
          <w:trHeight w:val="322"/>
        </w:trPr>
        <w:tc>
          <w:tcPr>
            <w:tcW w:w="2667" w:type="dxa"/>
          </w:tcPr>
          <w:p w14:paraId="5B19363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684" w:type="dxa"/>
          </w:tcPr>
          <w:p w14:paraId="71430831" w14:textId="796F9CC9" w:rsidR="00BD1A7A" w:rsidRPr="00ED5E2F" w:rsidRDefault="00BD1A7A" w:rsidP="003A153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</w:t>
            </w:r>
            <w:r w:rsidR="003A1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BD1A7A" w:rsidRPr="00ED5E2F" w14:paraId="12006650" w14:textId="77777777" w:rsidTr="008E2F40">
        <w:trPr>
          <w:trHeight w:val="466"/>
        </w:trPr>
        <w:tc>
          <w:tcPr>
            <w:tcW w:w="2667" w:type="dxa"/>
          </w:tcPr>
          <w:p w14:paraId="44D46C23" w14:textId="7DB223B5" w:rsidR="00BD1A7A" w:rsidRPr="008873DD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6684" w:type="dxa"/>
          </w:tcPr>
          <w:p w14:paraId="24454F50" w14:textId="5D48ADA2" w:rsidR="00BD1A7A" w:rsidRPr="008873DD" w:rsidRDefault="00BD1A7A" w:rsidP="00AE2D43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Стойност на цифрови услуги, продукти и процеси, разработени за предприятия</w:t>
            </w:r>
          </w:p>
        </w:tc>
      </w:tr>
      <w:tr w:rsidR="00BD1A7A" w:rsidRPr="00ED5E2F" w14:paraId="16313905" w14:textId="77777777" w:rsidTr="008E2F40">
        <w:trPr>
          <w:trHeight w:val="322"/>
        </w:trPr>
        <w:tc>
          <w:tcPr>
            <w:tcW w:w="2667" w:type="dxa"/>
          </w:tcPr>
          <w:p w14:paraId="27C2E42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684" w:type="dxa"/>
          </w:tcPr>
          <w:p w14:paraId="7AB894CB" w14:textId="11700911" w:rsidR="00BD1A7A" w:rsidRPr="00FD129D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 </w:t>
            </w:r>
          </w:p>
        </w:tc>
      </w:tr>
      <w:tr w:rsidR="00BD1A7A" w:rsidRPr="00ED5E2F" w14:paraId="6AB2C479" w14:textId="77777777" w:rsidTr="008E2F40">
        <w:trPr>
          <w:trHeight w:val="320"/>
        </w:trPr>
        <w:tc>
          <w:tcPr>
            <w:tcW w:w="2667" w:type="dxa"/>
          </w:tcPr>
          <w:p w14:paraId="376EA670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684" w:type="dxa"/>
          </w:tcPr>
          <w:p w14:paraId="2AF3EC08" w14:textId="2A7DD77D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109F179A" w14:textId="77777777" w:rsidTr="008E2F40">
        <w:trPr>
          <w:trHeight w:val="319"/>
        </w:trPr>
        <w:tc>
          <w:tcPr>
            <w:tcW w:w="2667" w:type="dxa"/>
          </w:tcPr>
          <w:p w14:paraId="0E3C9A13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84" w:type="dxa"/>
          </w:tcPr>
          <w:p w14:paraId="45EF83C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0940224" w14:textId="77777777" w:rsidTr="008E2F40">
        <w:trPr>
          <w:trHeight w:val="319"/>
        </w:trPr>
        <w:tc>
          <w:tcPr>
            <w:tcW w:w="2667" w:type="dxa"/>
          </w:tcPr>
          <w:p w14:paraId="72000A17" w14:textId="50F0C412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84" w:type="dxa"/>
          </w:tcPr>
          <w:p w14:paraId="0690157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7375FBA3" w14:textId="77777777" w:rsidTr="008E2F40">
        <w:trPr>
          <w:trHeight w:val="319"/>
        </w:trPr>
        <w:tc>
          <w:tcPr>
            <w:tcW w:w="2667" w:type="dxa"/>
          </w:tcPr>
          <w:p w14:paraId="42C486B8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84" w:type="dxa"/>
          </w:tcPr>
          <w:p w14:paraId="08710914" w14:textId="2932101B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40040F72" w14:textId="77777777" w:rsidTr="008E2F40">
        <w:trPr>
          <w:trHeight w:val="739"/>
        </w:trPr>
        <w:tc>
          <w:tcPr>
            <w:tcW w:w="2667" w:type="dxa"/>
          </w:tcPr>
          <w:p w14:paraId="086AD98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84" w:type="dxa"/>
          </w:tcPr>
          <w:p w14:paraId="364995C9" w14:textId="44555EBB" w:rsidR="00BD1A7A" w:rsidRPr="00ED5E2F" w:rsidRDefault="00BD1A7A" w:rsidP="002A23E9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32DC99AB" w14:textId="77777777" w:rsidTr="008E2F40">
        <w:trPr>
          <w:trHeight w:val="2382"/>
        </w:trPr>
        <w:tc>
          <w:tcPr>
            <w:tcW w:w="2667" w:type="dxa"/>
          </w:tcPr>
          <w:p w14:paraId="570CC7CE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84" w:type="dxa"/>
          </w:tcPr>
          <w:p w14:paraId="3EF287AD" w14:textId="77777777" w:rsidR="00BD1A7A" w:rsidRDefault="00BD1A7A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Обща стойност на цифровите услуги, продукти или процеси, новоразработени или значително подобрени за предприятията чрез подкрепени</w:t>
            </w:r>
            <w:r w:rsidR="003A153D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проекти. Общата стойност може да бъде измерена или от гледна точка на пазарна стойност, или от гледна точка на общите инвестиции, необходими за разработване/значително надграждане на съответната цифрова услуга, продукт или услуга. Значителни надстройки обхващат само нови функционалности.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Цифровата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услуга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процес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разработен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одкрепеното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трета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която то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сключило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0B3F577" w14:textId="4574B5D6" w:rsidR="002C33F8" w:rsidRPr="00ED5E2F" w:rsidRDefault="002C33F8" w:rsidP="002C33F8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</w:t>
            </w:r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бщите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допустими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разходи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проекта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лева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следва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да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се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конвертират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евро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курс</w:t>
            </w:r>
            <w:proofErr w:type="spellEnd"/>
            <w:r w:rsidRPr="00785B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1,9558.</w:t>
            </w:r>
          </w:p>
        </w:tc>
      </w:tr>
    </w:tbl>
    <w:p w14:paraId="02136892" w14:textId="77777777" w:rsidR="0023211E" w:rsidRPr="00BD1A7A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62"/>
      </w:tblGrid>
      <w:tr w:rsidR="00BD1A7A" w:rsidRPr="00ED5E2F" w14:paraId="09F5ED18" w14:textId="77777777" w:rsidTr="008E2F40">
        <w:trPr>
          <w:trHeight w:val="322"/>
        </w:trPr>
        <w:tc>
          <w:tcPr>
            <w:tcW w:w="2689" w:type="dxa"/>
            <w:shd w:val="clear" w:color="auto" w:fill="C5D9F0"/>
            <w:vAlign w:val="center"/>
          </w:tcPr>
          <w:p w14:paraId="00BA13F9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7D9CF87E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11CD5C2" w14:textId="77777777" w:rsidTr="008E2F40">
        <w:trPr>
          <w:trHeight w:val="219"/>
        </w:trPr>
        <w:tc>
          <w:tcPr>
            <w:tcW w:w="2689" w:type="dxa"/>
          </w:tcPr>
          <w:p w14:paraId="0F77CAED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62" w:type="dxa"/>
          </w:tcPr>
          <w:p w14:paraId="01B0A7AA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D1914CF" w14:textId="77777777" w:rsidTr="008E2F40">
        <w:trPr>
          <w:trHeight w:val="221"/>
        </w:trPr>
        <w:tc>
          <w:tcPr>
            <w:tcW w:w="2689" w:type="dxa"/>
          </w:tcPr>
          <w:p w14:paraId="3ACF1098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662" w:type="dxa"/>
          </w:tcPr>
          <w:p w14:paraId="34BC7674" w14:textId="2353E18A" w:rsidR="00BD1A7A" w:rsidRPr="0012471B" w:rsidRDefault="0012471B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7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SR02</w:t>
            </w:r>
          </w:p>
        </w:tc>
      </w:tr>
      <w:tr w:rsidR="00BD1A7A" w:rsidRPr="00ED5E2F" w14:paraId="16CC7528" w14:textId="77777777" w:rsidTr="008E2F40">
        <w:trPr>
          <w:trHeight w:val="320"/>
        </w:trPr>
        <w:tc>
          <w:tcPr>
            <w:tcW w:w="2689" w:type="dxa"/>
          </w:tcPr>
          <w:p w14:paraId="6702B77D" w14:textId="77777777" w:rsidR="00BD1A7A" w:rsidRPr="002C33F8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662" w:type="dxa"/>
          </w:tcPr>
          <w:p w14:paraId="6E463782" w14:textId="054EE758" w:rsidR="00BD1A7A" w:rsidRPr="002C33F8" w:rsidRDefault="00EF3405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МСП, постигнали 3 или 4 ниво на дигитализация съгласно индекса на зрялост за Индустрия 4.0</w:t>
            </w:r>
            <w:r w:rsidR="00565E4D" w:rsidRPr="002C33F8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2"/>
            </w:r>
          </w:p>
        </w:tc>
      </w:tr>
      <w:tr w:rsidR="00BD1A7A" w:rsidRPr="00ED5E2F" w14:paraId="6B9193A2" w14:textId="77777777" w:rsidTr="008E2F40">
        <w:trPr>
          <w:trHeight w:val="221"/>
        </w:trPr>
        <w:tc>
          <w:tcPr>
            <w:tcW w:w="2689" w:type="dxa"/>
          </w:tcPr>
          <w:p w14:paraId="5F3776D7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662" w:type="dxa"/>
          </w:tcPr>
          <w:p w14:paraId="6DD6FC15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BD1A7A" w:rsidRPr="00ED5E2F" w14:paraId="2D0690C7" w14:textId="77777777" w:rsidTr="008E2F40">
        <w:trPr>
          <w:trHeight w:val="220"/>
        </w:trPr>
        <w:tc>
          <w:tcPr>
            <w:tcW w:w="2689" w:type="dxa"/>
          </w:tcPr>
          <w:p w14:paraId="1995BC41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662" w:type="dxa"/>
          </w:tcPr>
          <w:p w14:paraId="2063BAEB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BD1A7A" w:rsidRPr="00ED5E2F" w14:paraId="419E32F5" w14:textId="77777777" w:rsidTr="008E2F40">
        <w:trPr>
          <w:trHeight w:val="219"/>
        </w:trPr>
        <w:tc>
          <w:tcPr>
            <w:tcW w:w="2689" w:type="dxa"/>
          </w:tcPr>
          <w:p w14:paraId="7229CF2B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62" w:type="dxa"/>
          </w:tcPr>
          <w:p w14:paraId="48FD89D9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6782158" w14:textId="77777777" w:rsidTr="008E2F40">
        <w:trPr>
          <w:trHeight w:val="219"/>
        </w:trPr>
        <w:tc>
          <w:tcPr>
            <w:tcW w:w="2689" w:type="dxa"/>
          </w:tcPr>
          <w:p w14:paraId="74C4EC9D" w14:textId="3F9EBFC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</w:tcPr>
          <w:p w14:paraId="41B63766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14728CA2" w14:textId="77777777" w:rsidTr="008E2F40">
        <w:trPr>
          <w:trHeight w:val="219"/>
        </w:trPr>
        <w:tc>
          <w:tcPr>
            <w:tcW w:w="2689" w:type="dxa"/>
          </w:tcPr>
          <w:p w14:paraId="2FB81DA5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</w:tcPr>
          <w:p w14:paraId="45562266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591D1425" w14:textId="77777777" w:rsidTr="000916DB">
        <w:trPr>
          <w:trHeight w:val="714"/>
        </w:trPr>
        <w:tc>
          <w:tcPr>
            <w:tcW w:w="2689" w:type="dxa"/>
          </w:tcPr>
          <w:p w14:paraId="078B8AB8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</w:tcPr>
          <w:p w14:paraId="0F555EA8" w14:textId="5662E5DD" w:rsidR="00BD1A7A" w:rsidRPr="00ED5E2F" w:rsidRDefault="00EF3405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0E78C414" w14:textId="77777777" w:rsidTr="001078CF">
        <w:trPr>
          <w:trHeight w:val="985"/>
        </w:trPr>
        <w:tc>
          <w:tcPr>
            <w:tcW w:w="2689" w:type="dxa"/>
          </w:tcPr>
          <w:p w14:paraId="0679EB0C" w14:textId="77777777" w:rsidR="00BD1A7A" w:rsidRPr="00ED5E2F" w:rsidRDefault="00BD1A7A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62" w:type="dxa"/>
          </w:tcPr>
          <w:p w14:paraId="6F3CE70D" w14:textId="2648B953" w:rsidR="00BD1A7A" w:rsidRPr="007379C9" w:rsidRDefault="0012471B" w:rsidP="00FF4A8A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Индикаторът включва предприятията, които </w:t>
            </w:r>
            <w:r w:rsidR="00FF4A8A">
              <w:rPr>
                <w:rFonts w:ascii="Times New Roman" w:hAnsi="Times New Roman" w:cs="Times New Roman"/>
                <w:sz w:val="24"/>
                <w:szCs w:val="24"/>
              </w:rPr>
              <w:t xml:space="preserve">са въвели </w:t>
            </w:r>
            <w:r w:rsidR="0023211E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 от Индустрия 4.0</w:t>
            </w:r>
            <w:r w:rsidR="007379C9" w:rsidRPr="007379C9">
              <w:rPr>
                <w:rFonts w:ascii="Times New Roman" w:hAnsi="Times New Roman" w:cs="Times New Roman"/>
                <w:sz w:val="24"/>
                <w:szCs w:val="24"/>
              </w:rPr>
              <w:t>, разпределени</w:t>
            </w:r>
            <w:r w:rsidR="003A153D">
              <w:rPr>
                <w:rFonts w:ascii="Times New Roman" w:hAnsi="Times New Roman" w:cs="Times New Roman"/>
                <w:sz w:val="24"/>
                <w:szCs w:val="24"/>
              </w:rPr>
              <w:t xml:space="preserve"> за целите на процедурата</w:t>
            </w:r>
            <w:r w:rsidR="007379C9" w:rsidRPr="007379C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37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9C9">
              <w:rPr>
                <w:rFonts w:ascii="Times New Roman" w:eastAsia="Times New Roman" w:hAnsi="Times New Roman" w:cs="Times New Roman"/>
                <w:sz w:val="24"/>
                <w:szCs w:val="24"/>
              </w:rPr>
              <w:t>ниво 3 „В</w:t>
            </w:r>
            <w:r w:rsidR="004C4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идимост“ и ниво 4 „Прозрачност“ </w:t>
            </w:r>
            <w:r w:rsidR="004C4530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>съгласно</w:t>
            </w:r>
            <w:r w:rsidR="007379C9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2D591A" w:rsidRPr="001078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04668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379C9" w:rsidRPr="00107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към</w:t>
            </w:r>
            <w:r w:rsidR="00737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Условията за кандидатстване.</w:t>
            </w:r>
          </w:p>
        </w:tc>
      </w:tr>
    </w:tbl>
    <w:p w14:paraId="65853C12" w14:textId="69961E97" w:rsidR="00BD1A7A" w:rsidRDefault="00BD1A7A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E61B51" w14:textId="50CB2975" w:rsidR="00BD1A7A" w:rsidRPr="00DD0952" w:rsidRDefault="00BD1A7A" w:rsidP="0023211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6662"/>
      </w:tblGrid>
      <w:tr w:rsidR="00BD1A7A" w:rsidRPr="00ED5E2F" w14:paraId="710705F6" w14:textId="77777777" w:rsidTr="008E2F40">
        <w:trPr>
          <w:trHeight w:val="340"/>
        </w:trPr>
        <w:tc>
          <w:tcPr>
            <w:tcW w:w="2694" w:type="dxa"/>
            <w:shd w:val="clear" w:color="auto" w:fill="C5D9F0"/>
            <w:vAlign w:val="center"/>
          </w:tcPr>
          <w:p w14:paraId="2F6E74EB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3B88252D" w14:textId="460686B3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4B075BE9" w14:textId="77777777" w:rsidTr="008E2F40">
        <w:trPr>
          <w:trHeight w:val="316"/>
        </w:trPr>
        <w:tc>
          <w:tcPr>
            <w:tcW w:w="2694" w:type="dxa"/>
          </w:tcPr>
          <w:p w14:paraId="0B1F6A57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62" w:type="dxa"/>
          </w:tcPr>
          <w:p w14:paraId="4F3F50B0" w14:textId="496EB5C5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8651254" w14:textId="77777777" w:rsidTr="008E2F40">
        <w:trPr>
          <w:trHeight w:val="314"/>
        </w:trPr>
        <w:tc>
          <w:tcPr>
            <w:tcW w:w="2694" w:type="dxa"/>
          </w:tcPr>
          <w:p w14:paraId="4D0E7EA9" w14:textId="096265EC" w:rsidR="00BD1A7A" w:rsidRPr="00ED5E2F" w:rsidRDefault="00BD1A7A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62" w:type="dxa"/>
          </w:tcPr>
          <w:p w14:paraId="401DF5A2" w14:textId="35DFAFC4" w:rsidR="00BD1A7A" w:rsidRPr="0098077C" w:rsidRDefault="0012471B" w:rsidP="008953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SR03</w:t>
            </w:r>
          </w:p>
        </w:tc>
      </w:tr>
      <w:tr w:rsidR="00BD1A7A" w:rsidRPr="00ED5E2F" w14:paraId="5346908F" w14:textId="77777777" w:rsidTr="008E2F40">
        <w:trPr>
          <w:trHeight w:val="316"/>
        </w:trPr>
        <w:tc>
          <w:tcPr>
            <w:tcW w:w="2694" w:type="dxa"/>
          </w:tcPr>
          <w:p w14:paraId="30C7E243" w14:textId="77777777" w:rsidR="00BD1A7A" w:rsidRPr="004C4530" w:rsidRDefault="00BD1A7A" w:rsidP="00895365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62" w:type="dxa"/>
          </w:tcPr>
          <w:p w14:paraId="7F3FF27D" w14:textId="3EAB5B73" w:rsidR="00BD1A7A" w:rsidRPr="004C4530" w:rsidRDefault="00EF3405" w:rsidP="0089536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МСП, постигнали 5 или 6 ниво на дигитализация съгласно индекса на зрялост за Индустрия 4.0</w:t>
            </w:r>
          </w:p>
        </w:tc>
      </w:tr>
      <w:tr w:rsidR="00BD1A7A" w:rsidRPr="00ED5E2F" w14:paraId="5E925830" w14:textId="77777777" w:rsidTr="008E2F40">
        <w:trPr>
          <w:trHeight w:val="313"/>
        </w:trPr>
        <w:tc>
          <w:tcPr>
            <w:tcW w:w="2694" w:type="dxa"/>
          </w:tcPr>
          <w:p w14:paraId="4025C8E1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662" w:type="dxa"/>
          </w:tcPr>
          <w:p w14:paraId="04983769" w14:textId="219BFD7B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6B945EBB" w14:textId="77777777" w:rsidTr="008E2F40">
        <w:trPr>
          <w:trHeight w:val="314"/>
        </w:trPr>
        <w:tc>
          <w:tcPr>
            <w:tcW w:w="2694" w:type="dxa"/>
          </w:tcPr>
          <w:p w14:paraId="5F78E59C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62" w:type="dxa"/>
          </w:tcPr>
          <w:p w14:paraId="3C0D76D3" w14:textId="6463590E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BD1A7A" w:rsidRPr="00ED5E2F" w14:paraId="5B182827" w14:textId="77777777" w:rsidTr="008E2F40">
        <w:trPr>
          <w:trHeight w:val="314"/>
        </w:trPr>
        <w:tc>
          <w:tcPr>
            <w:tcW w:w="2694" w:type="dxa"/>
          </w:tcPr>
          <w:p w14:paraId="316AFBC7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62" w:type="dxa"/>
          </w:tcPr>
          <w:p w14:paraId="7049D25D" w14:textId="3E5EE5CC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3BBC2D3" w14:textId="77777777" w:rsidTr="008E2F40">
        <w:trPr>
          <w:trHeight w:val="314"/>
        </w:trPr>
        <w:tc>
          <w:tcPr>
            <w:tcW w:w="2694" w:type="dxa"/>
          </w:tcPr>
          <w:p w14:paraId="615B696B" w14:textId="48301BF2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</w:tcPr>
          <w:p w14:paraId="0AE81008" w14:textId="210D0F69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376173B1" w14:textId="77777777" w:rsidTr="008E2F40">
        <w:trPr>
          <w:trHeight w:val="314"/>
        </w:trPr>
        <w:tc>
          <w:tcPr>
            <w:tcW w:w="2694" w:type="dxa"/>
          </w:tcPr>
          <w:p w14:paraId="2C0D65E1" w14:textId="77FEF37F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</w:tcPr>
          <w:p w14:paraId="190A335F" w14:textId="3AB001AE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06204ED2" w14:textId="77777777" w:rsidTr="000916DB">
        <w:trPr>
          <w:trHeight w:val="776"/>
        </w:trPr>
        <w:tc>
          <w:tcPr>
            <w:tcW w:w="2694" w:type="dxa"/>
          </w:tcPr>
          <w:p w14:paraId="6DF94B69" w14:textId="77777777" w:rsidR="00BD1A7A" w:rsidRPr="00ED5E2F" w:rsidRDefault="00BD1A7A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</w:tcPr>
          <w:p w14:paraId="462149FD" w14:textId="35D24FB6" w:rsidR="00BD1A7A" w:rsidRPr="00ED5E2F" w:rsidRDefault="00DD42B1" w:rsidP="00FA707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98077C" w:rsidRPr="00ED5E2F" w14:paraId="3D66EF82" w14:textId="77777777" w:rsidTr="001078CF">
        <w:trPr>
          <w:trHeight w:val="1130"/>
        </w:trPr>
        <w:tc>
          <w:tcPr>
            <w:tcW w:w="2694" w:type="dxa"/>
          </w:tcPr>
          <w:p w14:paraId="666AECC4" w14:textId="77777777" w:rsidR="0098077C" w:rsidRPr="00ED5E2F" w:rsidRDefault="0098077C" w:rsidP="0098077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662" w:type="dxa"/>
          </w:tcPr>
          <w:p w14:paraId="59877A2D" w14:textId="771553EA" w:rsidR="0098077C" w:rsidRPr="00ED5E2F" w:rsidRDefault="0098077C" w:rsidP="00FF4A8A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379C9">
              <w:rPr>
                <w:rFonts w:ascii="Times New Roman" w:hAnsi="Times New Roman" w:cs="Times New Roman"/>
                <w:sz w:val="24"/>
                <w:szCs w:val="24"/>
              </w:rPr>
              <w:t>Индикаторът включва предприятия</w:t>
            </w:r>
            <w:r w:rsidR="0012471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7379C9">
              <w:rPr>
                <w:rFonts w:ascii="Times New Roman" w:hAnsi="Times New Roman" w:cs="Times New Roman"/>
                <w:sz w:val="24"/>
                <w:szCs w:val="24"/>
              </w:rPr>
              <w:t xml:space="preserve">, които </w:t>
            </w:r>
            <w:r w:rsidR="00FF4A8A">
              <w:rPr>
                <w:rFonts w:ascii="Times New Roman" w:hAnsi="Times New Roman" w:cs="Times New Roman"/>
                <w:sz w:val="24"/>
                <w:szCs w:val="24"/>
              </w:rPr>
              <w:t>са въвели</w:t>
            </w:r>
            <w:r w:rsidRPr="007379C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от Индустрия 4.0, </w:t>
            </w:r>
            <w:r w:rsidR="003A153D" w:rsidRPr="003A153D">
              <w:rPr>
                <w:rFonts w:ascii="Times New Roman" w:hAnsi="Times New Roman" w:cs="Times New Roman"/>
                <w:sz w:val="24"/>
                <w:szCs w:val="24"/>
              </w:rPr>
              <w:t>разпределени за целите на процедурата</w:t>
            </w:r>
            <w:r w:rsidRPr="007379C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EF7">
              <w:rPr>
                <w:rFonts w:ascii="Times New Roman" w:hAnsi="Times New Roman" w:cs="Times New Roman"/>
                <w:sz w:val="24"/>
                <w:szCs w:val="24"/>
              </w:rPr>
              <w:t xml:space="preserve">ниво 5 „Прогнозен капацитет“ и ниво 6 „Приспособимост“ </w:t>
            </w:r>
            <w:r w:rsidR="004C4530" w:rsidRPr="001078CF">
              <w:rPr>
                <w:rFonts w:ascii="Times New Roman" w:hAnsi="Times New Roman" w:cs="Times New Roman"/>
                <w:sz w:val="24"/>
                <w:szCs w:val="24"/>
              </w:rPr>
              <w:t>съгласно</w:t>
            </w:r>
            <w:r w:rsidRPr="001078C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2D591A" w:rsidRPr="00107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668" w:rsidRPr="00107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078CF">
              <w:rPr>
                <w:rFonts w:ascii="Times New Roman" w:hAnsi="Times New Roman" w:cs="Times New Roman"/>
                <w:sz w:val="24"/>
                <w:szCs w:val="24"/>
              </w:rPr>
              <w:t xml:space="preserve"> към</w:t>
            </w:r>
            <w:r w:rsidRPr="00D45EF7">
              <w:rPr>
                <w:rFonts w:ascii="Times New Roman" w:hAnsi="Times New Roman" w:cs="Times New Roman"/>
                <w:sz w:val="24"/>
                <w:szCs w:val="24"/>
              </w:rPr>
              <w:t xml:space="preserve"> Условията за кандидатстване.</w:t>
            </w:r>
          </w:p>
        </w:tc>
      </w:tr>
    </w:tbl>
    <w:p w14:paraId="6BB04C07" w14:textId="3AEB9EA1" w:rsidR="00BA7DA4" w:rsidRPr="00ED5E2F" w:rsidRDefault="00BA7DA4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634E7" w14:textId="1FC17C33" w:rsidR="00B455C0" w:rsidRDefault="00B455C0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C6711D" w14:textId="77777777" w:rsidR="00D45EF7" w:rsidRPr="00ED5E2F" w:rsidRDefault="00D45EF7" w:rsidP="0023211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6662"/>
      </w:tblGrid>
      <w:tr w:rsidR="00BD1A7A" w:rsidRPr="00ED5E2F" w14:paraId="519EBC7F" w14:textId="77777777" w:rsidTr="008E2F40">
        <w:trPr>
          <w:trHeight w:val="340"/>
        </w:trPr>
        <w:tc>
          <w:tcPr>
            <w:tcW w:w="2694" w:type="dxa"/>
            <w:shd w:val="clear" w:color="auto" w:fill="C5D9F0"/>
            <w:vAlign w:val="center"/>
          </w:tcPr>
          <w:p w14:paraId="7639FBB5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662" w:type="dxa"/>
            <w:shd w:val="clear" w:color="auto" w:fill="C5D9F0"/>
            <w:vAlign w:val="center"/>
          </w:tcPr>
          <w:p w14:paraId="297A3DB9" w14:textId="58DB8236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6FD9B4B5" w14:textId="77777777" w:rsidTr="008E2F40">
        <w:trPr>
          <w:trHeight w:val="316"/>
        </w:trPr>
        <w:tc>
          <w:tcPr>
            <w:tcW w:w="2694" w:type="dxa"/>
          </w:tcPr>
          <w:p w14:paraId="3AE589A4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62" w:type="dxa"/>
          </w:tcPr>
          <w:p w14:paraId="12DE290E" w14:textId="08E4289F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17E28AC3" w14:textId="77777777" w:rsidTr="008E2F40">
        <w:trPr>
          <w:trHeight w:val="314"/>
        </w:trPr>
        <w:tc>
          <w:tcPr>
            <w:tcW w:w="2694" w:type="dxa"/>
          </w:tcPr>
          <w:p w14:paraId="41D5A658" w14:textId="77E41624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62" w:type="dxa"/>
          </w:tcPr>
          <w:p w14:paraId="3C5B5BEE" w14:textId="4BFC2A6E" w:rsidR="00BD1A7A" w:rsidRPr="00374AC8" w:rsidRDefault="0012471B" w:rsidP="00AE3534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SR04</w:t>
            </w:r>
          </w:p>
        </w:tc>
      </w:tr>
      <w:tr w:rsidR="00BD1A7A" w:rsidRPr="00ED5E2F" w14:paraId="1E12A37F" w14:textId="77777777" w:rsidTr="008E2F40">
        <w:trPr>
          <w:trHeight w:val="316"/>
        </w:trPr>
        <w:tc>
          <w:tcPr>
            <w:tcW w:w="2694" w:type="dxa"/>
          </w:tcPr>
          <w:p w14:paraId="2991E5CC" w14:textId="77777777" w:rsidR="00BD1A7A" w:rsidRPr="004C4530" w:rsidRDefault="00BD1A7A" w:rsidP="00AE353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62" w:type="dxa"/>
          </w:tcPr>
          <w:p w14:paraId="5D298CFD" w14:textId="64682EC6" w:rsidR="00BD1A7A" w:rsidRPr="004C4530" w:rsidRDefault="00DD42B1" w:rsidP="00AE3534">
            <w:pPr>
              <w:widowControl w:val="0"/>
              <w:autoSpaceDE w:val="0"/>
              <w:autoSpaceDN w:val="0"/>
              <w:spacing w:before="1"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C4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Брой служители в МСП, преминали обучения за умения в областта на Индустрия 4.0</w:t>
            </w:r>
          </w:p>
        </w:tc>
      </w:tr>
      <w:tr w:rsidR="00BD1A7A" w:rsidRPr="00ED5E2F" w14:paraId="1A701E11" w14:textId="77777777" w:rsidTr="008E2F40">
        <w:trPr>
          <w:trHeight w:val="313"/>
        </w:trPr>
        <w:tc>
          <w:tcPr>
            <w:tcW w:w="2694" w:type="dxa"/>
          </w:tcPr>
          <w:p w14:paraId="463E29B8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662" w:type="dxa"/>
          </w:tcPr>
          <w:p w14:paraId="59D34E4F" w14:textId="77EC0452" w:rsidR="00BD1A7A" w:rsidRPr="00575EFB" w:rsidRDefault="0012471B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379C9">
              <w:rPr>
                <w:rFonts w:ascii="Times New Roman" w:eastAsia="Times New Roman" w:hAnsi="Times New Roman" w:cs="Times New Roman"/>
                <w:sz w:val="24"/>
                <w:szCs w:val="24"/>
              </w:rPr>
              <w:t>лужители</w:t>
            </w:r>
          </w:p>
        </w:tc>
      </w:tr>
      <w:tr w:rsidR="00BD1A7A" w:rsidRPr="00ED5E2F" w14:paraId="6FF35539" w14:textId="77777777" w:rsidTr="008E2F40">
        <w:trPr>
          <w:trHeight w:val="314"/>
        </w:trPr>
        <w:tc>
          <w:tcPr>
            <w:tcW w:w="2694" w:type="dxa"/>
          </w:tcPr>
          <w:p w14:paraId="21F172E5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62" w:type="dxa"/>
          </w:tcPr>
          <w:p w14:paraId="46D18BF7" w14:textId="0FB3B7B9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BD1A7A" w:rsidRPr="00ED5E2F" w14:paraId="71EF2DBB" w14:textId="77777777" w:rsidTr="008E2F40">
        <w:trPr>
          <w:trHeight w:val="314"/>
        </w:trPr>
        <w:tc>
          <w:tcPr>
            <w:tcW w:w="2694" w:type="dxa"/>
          </w:tcPr>
          <w:p w14:paraId="1B397C39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62" w:type="dxa"/>
          </w:tcPr>
          <w:p w14:paraId="075F6696" w14:textId="02BB05C5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59882641" w14:textId="77777777" w:rsidTr="008E2F40">
        <w:trPr>
          <w:trHeight w:val="314"/>
        </w:trPr>
        <w:tc>
          <w:tcPr>
            <w:tcW w:w="2694" w:type="dxa"/>
          </w:tcPr>
          <w:p w14:paraId="3B4D0A5E" w14:textId="043266CE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62" w:type="dxa"/>
          </w:tcPr>
          <w:p w14:paraId="15939357" w14:textId="60B57F0C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20D0851A" w14:textId="77777777" w:rsidTr="008E2F40">
        <w:trPr>
          <w:trHeight w:val="314"/>
        </w:trPr>
        <w:tc>
          <w:tcPr>
            <w:tcW w:w="2694" w:type="dxa"/>
          </w:tcPr>
          <w:p w14:paraId="49C33C9A" w14:textId="79E8D1BF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62" w:type="dxa"/>
          </w:tcPr>
          <w:p w14:paraId="61F8CCAA" w14:textId="1F293155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D1A7A" w:rsidRPr="00ED5E2F" w14:paraId="0B1020BC" w14:textId="77777777" w:rsidTr="000916DB">
        <w:trPr>
          <w:trHeight w:val="708"/>
        </w:trPr>
        <w:tc>
          <w:tcPr>
            <w:tcW w:w="2694" w:type="dxa"/>
          </w:tcPr>
          <w:p w14:paraId="27B6235E" w14:textId="77777777" w:rsidR="00BD1A7A" w:rsidRPr="00ED5E2F" w:rsidRDefault="00BD1A7A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62" w:type="dxa"/>
          </w:tcPr>
          <w:p w14:paraId="1EA71653" w14:textId="69238BEB" w:rsidR="00BD1A7A" w:rsidRPr="00ED5E2F" w:rsidRDefault="00DD42B1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5B651F43" w14:textId="77777777" w:rsidTr="008E2F40">
        <w:trPr>
          <w:trHeight w:val="756"/>
        </w:trPr>
        <w:tc>
          <w:tcPr>
            <w:tcW w:w="2694" w:type="dxa"/>
          </w:tcPr>
          <w:p w14:paraId="7F24DA98" w14:textId="0E5BD903" w:rsidR="00BD1A7A" w:rsidRPr="00ED5E2F" w:rsidRDefault="00BD1A7A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</w:t>
            </w:r>
          </w:p>
        </w:tc>
        <w:tc>
          <w:tcPr>
            <w:tcW w:w="6662" w:type="dxa"/>
          </w:tcPr>
          <w:p w14:paraId="15DCCF28" w14:textId="6A9BDAE4" w:rsidR="00385504" w:rsidRDefault="009C6303" w:rsidP="0012471B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Индикаторът включва броя</w:t>
            </w:r>
            <w:r w:rsidR="0012471B"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 на служителите в предприятието-кандидат по настоящата процедура, преминали обучение </w:t>
            </w:r>
            <w:r w:rsidR="0012471B">
              <w:rPr>
                <w:rFonts w:ascii="Times New Roman" w:hAnsi="Times New Roman" w:cs="Times New Roman"/>
                <w:sz w:val="24"/>
                <w:szCs w:val="24"/>
              </w:rPr>
              <w:t>за п</w:t>
            </w:r>
            <w:r w:rsidR="0012471B" w:rsidRPr="0012471B">
              <w:rPr>
                <w:rFonts w:ascii="Times New Roman" w:hAnsi="Times New Roman" w:cs="Times New Roman"/>
                <w:sz w:val="24"/>
                <w:szCs w:val="24"/>
              </w:rPr>
              <w:t xml:space="preserve">овишаване на дигиталните умения на персонала във връзка с въведените </w:t>
            </w:r>
            <w:r w:rsidR="00385504">
              <w:rPr>
                <w:rFonts w:ascii="Times New Roman" w:hAnsi="Times New Roman" w:cs="Times New Roman"/>
                <w:sz w:val="24"/>
                <w:szCs w:val="24"/>
              </w:rPr>
              <w:t xml:space="preserve">нови </w:t>
            </w:r>
            <w:r w:rsidR="0012471B" w:rsidRPr="0012471B">
              <w:rPr>
                <w:rFonts w:ascii="Times New Roman" w:hAnsi="Times New Roman" w:cs="Times New Roman"/>
                <w:sz w:val="24"/>
                <w:szCs w:val="24"/>
              </w:rPr>
              <w:t>технологии от Индустрия 4.0</w:t>
            </w:r>
            <w:r w:rsidR="001247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BA0302E" w14:textId="3FB95246" w:rsidR="00BD1A7A" w:rsidRPr="0023211E" w:rsidRDefault="00385504" w:rsidP="00385504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504">
              <w:rPr>
                <w:rFonts w:ascii="Times New Roman" w:hAnsi="Times New Roman" w:cs="Times New Roman"/>
                <w:sz w:val="24"/>
                <w:szCs w:val="24"/>
              </w:rPr>
              <w:t>Всички избрани изпълнители за въвеждане на ИКТ системите и приложенията задължително трябва да осигурят обучение на персонала на предприятието, ангажиран за работа с новите технологии по проекта.</w:t>
            </w:r>
            <w:r w:rsidRPr="0012471B" w:rsidDel="003855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54E7A47" w14:textId="77777777" w:rsidR="008E2F40" w:rsidRDefault="008E2F40" w:rsidP="002321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61BE58" w14:textId="02605D69" w:rsidR="00242FAA" w:rsidRDefault="00E90ED1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385504">
        <w:rPr>
          <w:rFonts w:ascii="Times New Roman" w:hAnsi="Times New Roman" w:cs="Times New Roman"/>
          <w:sz w:val="24"/>
          <w:szCs w:val="24"/>
        </w:rPr>
        <w:t xml:space="preserve">Допълнителна информация по отношение на индикаторите е представена в 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Примерните указания за попълване на електронния Формуляр за кандидатстване </w:t>
      </w:r>
      <w:r w:rsidR="0041121F" w:rsidRPr="001078CF">
        <w:rPr>
          <w:rFonts w:ascii="Times New Roman" w:hAnsi="Times New Roman" w:cs="Times New Roman"/>
          <w:sz w:val="24"/>
          <w:szCs w:val="24"/>
        </w:rPr>
        <w:t>(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12EB1" w:rsidRPr="001078CF">
        <w:rPr>
          <w:rFonts w:ascii="Times New Roman" w:hAnsi="Times New Roman" w:cs="Times New Roman"/>
          <w:sz w:val="24"/>
          <w:szCs w:val="24"/>
        </w:rPr>
        <w:t>7</w:t>
      </w:r>
      <w:r w:rsidR="0041121F" w:rsidRPr="001078CF">
        <w:rPr>
          <w:rFonts w:ascii="Times New Roman" w:hAnsi="Times New Roman" w:cs="Times New Roman"/>
          <w:sz w:val="24"/>
          <w:szCs w:val="24"/>
        </w:rPr>
        <w:t>)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, където </w:t>
      </w:r>
      <w:r w:rsidR="007A4FD4" w:rsidRPr="001078CF">
        <w:rPr>
          <w:rFonts w:ascii="Times New Roman" w:hAnsi="Times New Roman" w:cs="Times New Roman"/>
          <w:sz w:val="24"/>
          <w:szCs w:val="24"/>
        </w:rPr>
        <w:t>са дадени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 подробни насоки относно всеки един от </w:t>
      </w:r>
      <w:r w:rsidR="0041121F" w:rsidRPr="001078CF">
        <w:rPr>
          <w:rFonts w:ascii="Times New Roman" w:hAnsi="Times New Roman" w:cs="Times New Roman"/>
          <w:sz w:val="24"/>
          <w:szCs w:val="24"/>
        </w:rPr>
        <w:t xml:space="preserve">посочените </w:t>
      </w:r>
      <w:r w:rsidR="006F34B1" w:rsidRPr="001078CF">
        <w:rPr>
          <w:rFonts w:ascii="Times New Roman" w:hAnsi="Times New Roman" w:cs="Times New Roman"/>
          <w:sz w:val="24"/>
          <w:szCs w:val="24"/>
        </w:rPr>
        <w:t>индикатори и тяхната приложимост.</w:t>
      </w:r>
    </w:p>
    <w:p w14:paraId="2A9B7AD0" w14:textId="77777777" w:rsidR="00385504" w:rsidRPr="00385504" w:rsidRDefault="00385504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385504" w:rsidRPr="00385504" w:rsidSect="003062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33143" w14:textId="77777777" w:rsidR="000B3FDA" w:rsidRDefault="000B3FDA" w:rsidP="00FB67A6">
      <w:pPr>
        <w:spacing w:after="0" w:line="240" w:lineRule="auto"/>
      </w:pPr>
      <w:r>
        <w:separator/>
      </w:r>
    </w:p>
  </w:endnote>
  <w:endnote w:type="continuationSeparator" w:id="0">
    <w:p w14:paraId="18F12AB3" w14:textId="77777777" w:rsidR="000B3FDA" w:rsidRDefault="000B3FDA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F7A3" w14:textId="77777777" w:rsidR="00796042" w:rsidRDefault="00796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433347C5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604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EA88" w14:textId="77777777" w:rsidR="00796042" w:rsidRDefault="00796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C2688" w14:textId="77777777" w:rsidR="000B3FDA" w:rsidRDefault="000B3FDA" w:rsidP="00FB67A6">
      <w:pPr>
        <w:spacing w:after="0" w:line="240" w:lineRule="auto"/>
      </w:pPr>
      <w:r>
        <w:separator/>
      </w:r>
    </w:p>
  </w:footnote>
  <w:footnote w:type="continuationSeparator" w:id="0">
    <w:p w14:paraId="78C01383" w14:textId="77777777" w:rsidR="000B3FDA" w:rsidRDefault="000B3FDA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3F0DD2F1" w14:textId="458D6EA4" w:rsidR="00565E4D" w:rsidRPr="00A4554E" w:rsidRDefault="00565E4D" w:rsidP="00A4554E">
      <w:pPr>
        <w:pStyle w:val="FootnoteText"/>
        <w:ind w:right="-22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65E4D">
        <w:rPr>
          <w:rFonts w:ascii="Times New Roman" w:hAnsi="Times New Roman" w:cs="Times New Roman"/>
          <w:sz w:val="16"/>
          <w:szCs w:val="16"/>
        </w:rPr>
        <w:t>Съгласно Индекса на зрялост – Индустрия 4.0 (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Industry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4.0), разработен от Интердисциплинарен консорциум (RWTH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AachenUniversity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Technische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Universitat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Darmstadt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Fraunhofer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Institute,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German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Research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Center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for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Artificial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Intelligence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, TU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Dortmund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E4D">
        <w:rPr>
          <w:rFonts w:ascii="Times New Roman" w:hAnsi="Times New Roman" w:cs="Times New Roman"/>
          <w:sz w:val="16"/>
          <w:szCs w:val="16"/>
        </w:rPr>
        <w:t>University</w:t>
      </w:r>
      <w:proofErr w:type="spellEnd"/>
      <w:r w:rsidRPr="00565E4D">
        <w:rPr>
          <w:rFonts w:ascii="Times New Roman" w:hAnsi="Times New Roman" w:cs="Times New Roman"/>
          <w:sz w:val="16"/>
          <w:szCs w:val="16"/>
        </w:rPr>
        <w:t>, TUV SUD AG и др.). Моделът на зрялост съгласно Индустрия 4.0 се състои от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078CF">
        <w:rPr>
          <w:rFonts w:ascii="Times New Roman" w:hAnsi="Times New Roman" w:cs="Times New Roman"/>
          <w:sz w:val="16"/>
          <w:szCs w:val="16"/>
        </w:rPr>
        <w:t>шест последователни етапа (нива на дигитализация съгласно индекса на зрялост за Индустрия 4.0), през които предприятията пре</w:t>
      </w:r>
      <w:r w:rsidRPr="00565E4D">
        <w:rPr>
          <w:rFonts w:ascii="Times New Roman" w:hAnsi="Times New Roman" w:cs="Times New Roman"/>
          <w:sz w:val="16"/>
          <w:szCs w:val="16"/>
        </w:rPr>
        <w:t xml:space="preserve">минават, докато надграждат своите цифрови възможности. Подкрепата по процедурата е насочена към </w:t>
      </w:r>
      <w:r w:rsidR="001078CF" w:rsidRPr="001078CF">
        <w:rPr>
          <w:rFonts w:ascii="Times New Roman" w:hAnsi="Times New Roman" w:cs="Times New Roman"/>
          <w:sz w:val="16"/>
          <w:szCs w:val="16"/>
        </w:rPr>
        <w:t>въвеждане на технологии от последните четири нива на дигитализация, съгласно Индекса на зрялост – Индустрия 4.0</w:t>
      </w:r>
      <w:r w:rsidR="001078CF">
        <w:rPr>
          <w:rFonts w:ascii="Times New Roman" w:hAnsi="Times New Roman" w:cs="Times New Roman"/>
          <w:sz w:val="16"/>
          <w:szCs w:val="16"/>
        </w:rPr>
        <w:t>:</w:t>
      </w:r>
      <w:r w:rsidR="001078CF" w:rsidRPr="001078CF">
        <w:rPr>
          <w:rFonts w:ascii="Times New Roman" w:hAnsi="Times New Roman" w:cs="Times New Roman"/>
          <w:sz w:val="16"/>
          <w:szCs w:val="16"/>
        </w:rPr>
        <w:t xml:space="preserve"> ниво 3 „Видимост“, ниво 4 „Прозрачност“, ниво 5 „Прогнозен капацитет“ и ниво 6 „Приспособимост“</w:t>
      </w:r>
      <w:r w:rsidRPr="00565E4D">
        <w:rPr>
          <w:rFonts w:ascii="Times New Roman" w:hAnsi="Times New Roman" w:cs="Times New Roman"/>
          <w:sz w:val="16"/>
          <w:szCs w:val="16"/>
        </w:rPr>
        <w:t xml:space="preserve">. </w:t>
      </w:r>
      <w:r w:rsidR="001078CF" w:rsidRPr="001078CF">
        <w:rPr>
          <w:rFonts w:ascii="Times New Roman" w:hAnsi="Times New Roman" w:cs="Times New Roman"/>
          <w:sz w:val="16"/>
          <w:szCs w:val="16"/>
        </w:rPr>
        <w:t>Допълнителна информация за шестте нива (етапи) на дигитализация съгласно Индекса на зрялост за Индустрия 4.0 е представена в Приложение 10 към Условията за кандидатстване</w:t>
      </w:r>
      <w:r w:rsidRPr="00565E4D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21FCC" w14:textId="52BA2E66" w:rsidR="00796042" w:rsidRDefault="00796042">
    <w:pPr>
      <w:pStyle w:val="Header"/>
    </w:pPr>
    <w:r>
      <w:rPr>
        <w:noProof/>
      </w:rPr>
      <w:pict w14:anchorId="345241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072704" o:spid="_x0000_s2051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2"/>
      <w:gridCol w:w="3578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B3FDA">
            <w:rPr>
              <w:rFonts w:ascii="Calibri" w:eastAsia="Calibri" w:hAnsi="Calibri" w:cs="Times New Roman"/>
              <w:noProof/>
            </w:rPr>
            <w:instrText>INCLUDEPICTURE  "cid:image001.png@01D8FB</w:instrText>
          </w:r>
          <w:r w:rsidR="000B3FDA">
            <w:rPr>
              <w:rFonts w:ascii="Calibri" w:eastAsia="Calibri" w:hAnsi="Calibri" w:cs="Times New Roman"/>
              <w:noProof/>
            </w:rPr>
            <w:instrText>39.06A872C0" \* MERGEFORMATINET</w:instrText>
          </w:r>
          <w:r w:rsidR="000B3FDA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85pt;height:41.45pt;visibility:visible">
                <v:imagedata r:id="rId2" r:href="rId3"/>
              </v:shape>
            </w:pict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4755FF3E" w:rsidR="003D42A1" w:rsidRDefault="00796042">
    <w:pPr>
      <w:pStyle w:val="Header"/>
    </w:pPr>
    <w:r>
      <w:rPr>
        <w:noProof/>
      </w:rPr>
      <w:pict w14:anchorId="432396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072705" o:spid="_x0000_s2052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753D" w14:textId="6723043A" w:rsidR="00796042" w:rsidRDefault="00796042">
    <w:pPr>
      <w:pStyle w:val="Header"/>
    </w:pPr>
    <w:r>
      <w:rPr>
        <w:noProof/>
      </w:rPr>
      <w:pict w14:anchorId="14F3C6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072703" o:spid="_x0000_s2050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12EB1"/>
    <w:rsid w:val="0001335E"/>
    <w:rsid w:val="000512DE"/>
    <w:rsid w:val="0006627E"/>
    <w:rsid w:val="000916DB"/>
    <w:rsid w:val="000B3FDA"/>
    <w:rsid w:val="000C71D3"/>
    <w:rsid w:val="000D4C7B"/>
    <w:rsid w:val="000E53DE"/>
    <w:rsid w:val="001078CF"/>
    <w:rsid w:val="00122A4A"/>
    <w:rsid w:val="0012471B"/>
    <w:rsid w:val="00126A34"/>
    <w:rsid w:val="001373C5"/>
    <w:rsid w:val="0019246F"/>
    <w:rsid w:val="001C240F"/>
    <w:rsid w:val="001C3D91"/>
    <w:rsid w:val="001C7BED"/>
    <w:rsid w:val="001D0806"/>
    <w:rsid w:val="001F74F8"/>
    <w:rsid w:val="00214156"/>
    <w:rsid w:val="0023211E"/>
    <w:rsid w:val="00242FAA"/>
    <w:rsid w:val="00251BA9"/>
    <w:rsid w:val="00282CE1"/>
    <w:rsid w:val="00285C3F"/>
    <w:rsid w:val="002A23E9"/>
    <w:rsid w:val="002B1B9E"/>
    <w:rsid w:val="002C33F8"/>
    <w:rsid w:val="002D591A"/>
    <w:rsid w:val="002D7CA0"/>
    <w:rsid w:val="003062B8"/>
    <w:rsid w:val="00321527"/>
    <w:rsid w:val="00321CC3"/>
    <w:rsid w:val="0036282C"/>
    <w:rsid w:val="00374759"/>
    <w:rsid w:val="00374AC8"/>
    <w:rsid w:val="00385504"/>
    <w:rsid w:val="00387295"/>
    <w:rsid w:val="00390C81"/>
    <w:rsid w:val="003969A2"/>
    <w:rsid w:val="003A153D"/>
    <w:rsid w:val="003B0361"/>
    <w:rsid w:val="003D42A1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73494"/>
    <w:rsid w:val="004A48F9"/>
    <w:rsid w:val="004B521C"/>
    <w:rsid w:val="004C4530"/>
    <w:rsid w:val="004C58A9"/>
    <w:rsid w:val="004F0260"/>
    <w:rsid w:val="004F3C87"/>
    <w:rsid w:val="00515E0F"/>
    <w:rsid w:val="00517C82"/>
    <w:rsid w:val="0052350C"/>
    <w:rsid w:val="00524030"/>
    <w:rsid w:val="0054607E"/>
    <w:rsid w:val="00565E4D"/>
    <w:rsid w:val="00575EFB"/>
    <w:rsid w:val="00587326"/>
    <w:rsid w:val="00596117"/>
    <w:rsid w:val="005A0109"/>
    <w:rsid w:val="005E67EB"/>
    <w:rsid w:val="00601541"/>
    <w:rsid w:val="00651EA7"/>
    <w:rsid w:val="00654B71"/>
    <w:rsid w:val="00656FCF"/>
    <w:rsid w:val="006660CC"/>
    <w:rsid w:val="00671F45"/>
    <w:rsid w:val="00697BC0"/>
    <w:rsid w:val="006A754E"/>
    <w:rsid w:val="006B5449"/>
    <w:rsid w:val="006B7079"/>
    <w:rsid w:val="006C1D84"/>
    <w:rsid w:val="006E3049"/>
    <w:rsid w:val="006F34B1"/>
    <w:rsid w:val="006F79A2"/>
    <w:rsid w:val="00701CC2"/>
    <w:rsid w:val="0071426D"/>
    <w:rsid w:val="00727B55"/>
    <w:rsid w:val="00735AA1"/>
    <w:rsid w:val="007379C9"/>
    <w:rsid w:val="00785B4D"/>
    <w:rsid w:val="00796042"/>
    <w:rsid w:val="007A4FD4"/>
    <w:rsid w:val="007D236B"/>
    <w:rsid w:val="007E0F88"/>
    <w:rsid w:val="007F3426"/>
    <w:rsid w:val="00843E07"/>
    <w:rsid w:val="008537A8"/>
    <w:rsid w:val="00860472"/>
    <w:rsid w:val="00881007"/>
    <w:rsid w:val="008873DD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7715B"/>
    <w:rsid w:val="0098077C"/>
    <w:rsid w:val="009B2129"/>
    <w:rsid w:val="009B6FFE"/>
    <w:rsid w:val="009C19FA"/>
    <w:rsid w:val="009C6303"/>
    <w:rsid w:val="009D09D3"/>
    <w:rsid w:val="009F5D2B"/>
    <w:rsid w:val="00A00FCA"/>
    <w:rsid w:val="00A035EF"/>
    <w:rsid w:val="00A138FD"/>
    <w:rsid w:val="00A177C4"/>
    <w:rsid w:val="00A2087F"/>
    <w:rsid w:val="00A400C0"/>
    <w:rsid w:val="00A4554E"/>
    <w:rsid w:val="00A70B0B"/>
    <w:rsid w:val="00A87F8D"/>
    <w:rsid w:val="00AD0EF8"/>
    <w:rsid w:val="00AE2D43"/>
    <w:rsid w:val="00AE3534"/>
    <w:rsid w:val="00B453C3"/>
    <w:rsid w:val="00B455C0"/>
    <w:rsid w:val="00B90781"/>
    <w:rsid w:val="00BA7DA4"/>
    <w:rsid w:val="00BA7F11"/>
    <w:rsid w:val="00BD0C83"/>
    <w:rsid w:val="00BD1A7A"/>
    <w:rsid w:val="00BE2BF1"/>
    <w:rsid w:val="00BF06B4"/>
    <w:rsid w:val="00BF5477"/>
    <w:rsid w:val="00C000E3"/>
    <w:rsid w:val="00C04668"/>
    <w:rsid w:val="00C2521C"/>
    <w:rsid w:val="00C33A5D"/>
    <w:rsid w:val="00C44E76"/>
    <w:rsid w:val="00C8201A"/>
    <w:rsid w:val="00CF5FB2"/>
    <w:rsid w:val="00D00096"/>
    <w:rsid w:val="00D2260D"/>
    <w:rsid w:val="00D45EF7"/>
    <w:rsid w:val="00D51210"/>
    <w:rsid w:val="00D734A1"/>
    <w:rsid w:val="00D77738"/>
    <w:rsid w:val="00D80199"/>
    <w:rsid w:val="00D82EBF"/>
    <w:rsid w:val="00DB42F3"/>
    <w:rsid w:val="00DC03AB"/>
    <w:rsid w:val="00DD0952"/>
    <w:rsid w:val="00DD42B1"/>
    <w:rsid w:val="00DE7655"/>
    <w:rsid w:val="00DF0F93"/>
    <w:rsid w:val="00E07783"/>
    <w:rsid w:val="00E15221"/>
    <w:rsid w:val="00E70625"/>
    <w:rsid w:val="00E90ED1"/>
    <w:rsid w:val="00E972BC"/>
    <w:rsid w:val="00EB168B"/>
    <w:rsid w:val="00EB2A77"/>
    <w:rsid w:val="00EC4041"/>
    <w:rsid w:val="00ED5E2F"/>
    <w:rsid w:val="00EE3FF1"/>
    <w:rsid w:val="00EE6795"/>
    <w:rsid w:val="00EF3405"/>
    <w:rsid w:val="00EF503A"/>
    <w:rsid w:val="00F31F52"/>
    <w:rsid w:val="00F34007"/>
    <w:rsid w:val="00F54304"/>
    <w:rsid w:val="00F60325"/>
    <w:rsid w:val="00F62D76"/>
    <w:rsid w:val="00F75289"/>
    <w:rsid w:val="00F770DC"/>
    <w:rsid w:val="00F83128"/>
    <w:rsid w:val="00FA707A"/>
    <w:rsid w:val="00FB67A6"/>
    <w:rsid w:val="00FC6126"/>
    <w:rsid w:val="00FD129D"/>
    <w:rsid w:val="00FD43EB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7B809-42A7-4760-8ED3-671D6323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45</cp:revision>
  <dcterms:created xsi:type="dcterms:W3CDTF">2023-11-02T12:03:00Z</dcterms:created>
  <dcterms:modified xsi:type="dcterms:W3CDTF">2025-03-04T13:56:00Z</dcterms:modified>
</cp:coreProperties>
</file>